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VoiceBridge AAC Bridge Fund — Grant Policy</w:t>
      </w:r>
    </w:p>
    <w:p>
      <w:pPr>
        <w:spacing w:after="120"/>
      </w:pPr>
      <w:r>
        <w:rPr>
          <w:i/>
          <w:iCs/>
          <w:sz w:val="20"/>
          <w:szCs w:val="20"/>
        </w:rPr>
        <w:t xml:space="preserve">Pilot Version — Minimum-Effort Launch</w:t>
      </w:r>
    </w:p>
    <w:p>
      <w:pPr>
        <w:pStyle w:val="Heading2"/>
      </w:pPr>
      <w:r>
        <w:t xml:space="preserve">1. Purpose</w:t>
      </w:r>
    </w:p>
    <w:p>
      <w:pPr>
        <w:spacing w:after="80"/>
      </w:pPr>
      <w:r>
        <w:t xml:space="preserve">VoiceBridge provides small, time-sensitive grants that remove practical barriers to communication access for people with speech and communication disabilities. The fund covers gaps created by cost, delay, or incomplete public/private coverage. It does not replace government programs or insurance.</w:t>
      </w:r>
    </w:p>
    <w:p>
      <w:pPr>
        <w:pStyle w:val="Heading2"/>
      </w:pPr>
      <w:r>
        <w:t xml:space="preserve">2. Operating Model (Referral-Only)</w:t>
      </w:r>
    </w:p>
    <w:p>
      <w:pPr>
        <w:pStyle w:val="ListParagraph"/>
        <w:numPr>
          <w:ilvl w:val="0"/>
          <w:numId w:val="2"/>
        </w:numPr>
      </w:pPr>
      <w:r>
        <w:t xml:space="preserve">No open public applications at pilot stage.</w:t>
      </w:r>
    </w:p>
    <w:p>
      <w:pPr>
        <w:pStyle w:val="ListParagraph"/>
        <w:numPr>
          <w:ilvl w:val="0"/>
          <w:numId w:val="2"/>
        </w:numPr>
      </w:pPr>
      <w:r>
        <w:t xml:space="preserve">Intake occurs exclusively through 3–5 trusted referral partners (SLPs, rehab clinics, disability organizations, schools, hospitals, aphasia/brain injury groups).</w:t>
      </w:r>
    </w:p>
    <w:p>
      <w:pPr>
        <w:pStyle w:val="ListParagraph"/>
        <w:numPr>
          <w:ilvl w:val="0"/>
          <w:numId w:val="2"/>
        </w:numPr>
      </w:pPr>
      <w:r>
        <w:t xml:space="preserve">VoiceBridge pays vendors, app stores, or service providers directly whenever feasible.</w:t>
      </w:r>
    </w:p>
    <w:p>
      <w:pPr>
        <w:pStyle w:val="ListParagraph"/>
        <w:numPr>
          <w:ilvl w:val="0"/>
          <w:numId w:val="2"/>
        </w:numPr>
        <w:spacing w:after="120"/>
      </w:pPr>
      <w:r>
        <w:t xml:space="preserve">Recipient or referring partner confirms actual use and usability 30 days after support is delivered.</w:t>
      </w:r>
    </w:p>
    <w:p>
      <w:pPr>
        <w:pStyle w:val="Heading2"/>
      </w:pPr>
      <w:r>
        <w:t xml:space="preserve">3. Eligible Supports</w:t>
      </w:r>
    </w:p>
    <w:p>
      <w:pPr>
        <w:spacing w:after="60"/>
      </w:pPr>
      <w:r>
        <w:t xml:space="preserve">Grants are limited to practical items that enable or restore functional communication:</w:t>
      </w:r>
    </w:p>
    <w:p>
      <w:pPr>
        <w:pStyle w:val="ListParagraph"/>
        <w:numPr>
          <w:ilvl w:val="0"/>
          <w:numId w:val="2"/>
        </w:numPr>
      </w:pPr>
      <w:r>
        <w:t xml:space="preserve">AAC app or software licenses (one-time or short-term)</w:t>
      </w:r>
    </w:p>
    <w:p>
      <w:pPr>
        <w:pStyle w:val="ListParagraph"/>
        <w:numPr>
          <w:ilvl w:val="0"/>
          <w:numId w:val="2"/>
        </w:numPr>
      </w:pPr>
      <w:r>
        <w:t xml:space="preserve">Tablet or dedicated device for communication when no other timely option exists</w:t>
      </w:r>
    </w:p>
    <w:p>
      <w:pPr>
        <w:pStyle w:val="ListParagraph"/>
        <w:numPr>
          <w:ilvl w:val="0"/>
          <w:numId w:val="2"/>
        </w:numPr>
      </w:pPr>
      <w:r>
        <w:t xml:space="preserve">Protective cases, keyguards, mounts, stands</w:t>
      </w:r>
    </w:p>
    <w:p>
      <w:pPr>
        <w:pStyle w:val="ListParagraph"/>
        <w:numPr>
          <w:ilvl w:val="0"/>
          <w:numId w:val="2"/>
        </w:numPr>
      </w:pPr>
      <w:r>
        <w:t xml:space="preserve">Repairs, replacement parts, batteries, cables</w:t>
      </w:r>
    </w:p>
    <w:p>
      <w:pPr>
        <w:pStyle w:val="ListParagraph"/>
        <w:numPr>
          <w:ilvl w:val="0"/>
          <w:numId w:val="2"/>
        </w:numPr>
      </w:pPr>
      <w:r>
        <w:t xml:space="preserve">Professional setup or configuration directly required for use</w:t>
      </w:r>
    </w:p>
    <w:p>
      <w:pPr>
        <w:pStyle w:val="ListParagraph"/>
        <w:numPr>
          <w:ilvl w:val="0"/>
          <w:numId w:val="2"/>
        </w:numPr>
        <w:spacing w:after="120"/>
      </w:pPr>
      <w:r>
        <w:t xml:space="preserve">Partner/family training only when it is the direct enabler of device use and no other training resource is available in time</w:t>
      </w:r>
    </w:p>
    <w:p>
      <w:pPr>
        <w:pStyle w:val="Heading2"/>
      </w:pPr>
      <w:r>
        <w:t xml:space="preserve">4. Ineligible / Out of Scope (Pilot)</w:t>
      </w:r>
    </w:p>
    <w:p>
      <w:pPr>
        <w:pStyle w:val="ListParagraph"/>
        <w:numPr>
          <w:ilvl w:val="0"/>
          <w:numId w:val="2"/>
        </w:numPr>
      </w:pPr>
      <w:r>
        <w:t xml:space="preserve">Ongoing therapy, clinical services, or assessments</w:t>
      </w:r>
    </w:p>
    <w:p>
      <w:pPr>
        <w:pStyle w:val="ListParagraph"/>
        <w:numPr>
          <w:ilvl w:val="0"/>
          <w:numId w:val="2"/>
        </w:numPr>
      </w:pPr>
      <w:r>
        <w:t xml:space="preserve">High-cost dedicated speech-generating devices normally funded by provincial programs (except documented gap/denial/urgent interim)</w:t>
      </w:r>
    </w:p>
    <w:p>
      <w:pPr>
        <w:pStyle w:val="ListParagraph"/>
        <w:numPr>
          <w:ilvl w:val="0"/>
          <w:numId w:val="2"/>
        </w:numPr>
      </w:pPr>
      <w:r>
        <w:t xml:space="preserve">General education technology, entertainment devices, or items not primarily used for communication</w:t>
      </w:r>
    </w:p>
    <w:p>
      <w:pPr>
        <w:pStyle w:val="ListParagraph"/>
        <w:numPr>
          <w:ilvl w:val="0"/>
          <w:numId w:val="2"/>
        </w:numPr>
      </w:pPr>
      <w:r>
        <w:t xml:space="preserve">Large capital items or construction</w:t>
      </w:r>
    </w:p>
    <w:p>
      <w:pPr>
        <w:pStyle w:val="ListParagraph"/>
        <w:numPr>
          <w:ilvl w:val="0"/>
          <w:numId w:val="2"/>
        </w:numPr>
        <w:spacing w:after="120"/>
      </w:pPr>
      <w:r>
        <w:t xml:space="preserve">Retrospective costs already incurred</w:t>
      </w:r>
    </w:p>
    <w:p>
      <w:pPr>
        <w:pStyle w:val="Heading2"/>
      </w:pPr>
      <w:r>
        <w:t xml:space="preserve">5. Grant Size &amp; Frequency</w:t>
      </w:r>
    </w:p>
    <w:p>
      <w:pPr>
        <w:spacing w:after="80"/>
      </w:pPr>
      <w:r>
        <w:t xml:space="preserve">Typical range: $300 – $3,500 CAD per grant. Larger amounts considered only with documented justification and explicit director approval. One grant per person per 12-month period unless exceptional circumstances (device failure, rapid change in need, documented theft/loss).</w:t>
      </w:r>
    </w:p>
    <w:p>
      <w:pPr>
        <w:pStyle w:val="Heading2"/>
      </w:pPr>
      <w:r>
        <w:t xml:space="preserve">6. Decision Process &amp; Timeline</w:t>
      </w:r>
    </w:p>
    <w:p>
      <w:pPr>
        <w:pStyle w:val="ListParagraph"/>
        <w:numPr>
          <w:ilvl w:val="0"/>
          <w:numId w:val="3"/>
        </w:numPr>
      </w:pPr>
      <w:r>
        <w:t xml:space="preserve">Partner submits short referral form with cost estimate and vendor details.</w:t>
      </w:r>
    </w:p>
    <w:p>
      <w:pPr>
        <w:pStyle w:val="ListParagraph"/>
        <w:numPr>
          <w:ilvl w:val="0"/>
          <w:numId w:val="3"/>
        </w:numPr>
      </w:pPr>
      <w:r>
        <w:t xml:space="preserve">VoiceBridge staff or designated reviewer screens for completeness and basic eligibility within 3 business days.</w:t>
      </w:r>
    </w:p>
    <w:p>
      <w:pPr>
        <w:pStyle w:val="ListParagraph"/>
        <w:numPr>
          <w:ilvl w:val="0"/>
          <w:numId w:val="3"/>
        </w:numPr>
      </w:pPr>
      <w:r>
        <w:t xml:space="preserve">Lived-experience review circle (or founding directors in very first cases) applies the Grant Decision Rubric.</w:t>
      </w:r>
    </w:p>
    <w:p>
      <w:pPr>
        <w:pStyle w:val="ListParagraph"/>
        <w:numPr>
          <w:ilvl w:val="0"/>
          <w:numId w:val="3"/>
        </w:numPr>
      </w:pPr>
      <w:r>
        <w:t xml:space="preserve">Decision (Approve / Defer / Decline with plain-language reason) communicated to partner within 7 calendar days of complete referral.</w:t>
      </w:r>
    </w:p>
    <w:p>
      <w:pPr>
        <w:pStyle w:val="ListParagraph"/>
        <w:numPr>
          <w:ilvl w:val="0"/>
          <w:numId w:val="3"/>
        </w:numPr>
        <w:spacing w:after="120"/>
      </w:pPr>
      <w:r>
        <w:t xml:space="preserve">Payment arranged directly with vendor; partner/recipient notified.</w:t>
      </w:r>
    </w:p>
    <w:p>
      <w:pPr>
        <w:pStyle w:val="Heading2"/>
      </w:pPr>
      <w:r>
        <w:t xml:space="preserve">7. 30-Day Confirmation</w:t>
      </w:r>
    </w:p>
    <w:p>
      <w:pPr>
        <w:spacing w:after="120"/>
      </w:pPr>
      <w:r>
        <w:t xml:space="preserve">The referring partner or recipient confirms (by short email or form) that the support was received and is usable for its intended communication purpose. If not usable, VoiceBridge records the barrier and may consider a corrective grant or vendor follow-up. Non-response after two reminders is logged as “outcome unknown.”</w:t>
      </w:r>
    </w:p>
    <w:p>
      <w:pPr>
        <w:pStyle w:val="Heading2"/>
      </w:pPr>
      <w:r>
        <w:t xml:space="preserve">8. Privacy &amp; Data</w:t>
      </w:r>
    </w:p>
    <w:p>
      <w:pPr>
        <w:spacing w:after="120"/>
      </w:pPr>
      <w:r>
        <w:t xml:space="preserve">Minimal personal information is collected. Referrals use first name or initials + year of birth where possible. Full names and contact details are shared only as required for direct vendor payment or shipping. All records are kept in a secure, access-controlled tracker. Data is used only for grant administration, basic impact reporting, and learning about systemic barriers. No marketing use.</w:t>
      </w:r>
    </w:p>
    <w:p>
      <w:pPr>
        <w:pStyle w:val="Heading2"/>
      </w:pPr>
      <w:r>
        <w:t xml:space="preserve">9. Equity &amp; Language</w:t>
      </w:r>
    </w:p>
    <w:p>
      <w:pPr>
        <w:spacing w:after="120"/>
      </w:pPr>
      <w:r>
        <w:t xml:space="preserve">The fund prioritizes cases where cost or system delay would otherwise leave someone without functional communication. Language in all materials must be plain, respectful, and free of “inspirational” framing. “Giving someone a voice” language is prohibited in VoiceBridge communications.</w:t>
      </w:r>
    </w:p>
    <w:p>
      <w:pPr>
        <w:pStyle w:val="Heading2"/>
      </w:pPr>
      <w:r>
        <w:t xml:space="preserve">10. Changes to This Policy</w:t>
      </w:r>
    </w:p>
    <w:p>
      <w:pPr>
        <w:spacing w:after="120"/>
      </w:pPr>
      <w:r>
        <w:t xml:space="preserve">This is a living pilot document. Substantive changes require approval of the founding directors and at least one lived-experience advisor. Version history is maintained in the policy file and noted on the referral form.</w:t>
      </w:r>
    </w:p>
    <w:p>
      <w:pPr>
        <w:spacing w:before="200"/>
      </w:pPr>
      <w:r>
        <w:rPr>
          <w:i/>
          <w:iCs/>
          <w:color w:val="555555"/>
          <w:sz w:val="18"/>
          <w:szCs w:val="18"/>
        </w:rPr>
        <w:t xml:space="preserve">Version: Pilot 0.9  |  Effective on first grant round  |  Review after 10 grants or 90 days, whichever comes first.</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16"/>
        <w:szCs w:val="16"/>
      </w:rPr>
      <w:t xml:space="preserve">Page </w:t>
    </w:r>
    <w:r>
      <w:rPr>
        <w:sz w:val="16"/>
        <w:szCs w:val="16"/>
      </w:rPr>
      <w:fldChar w:fldCharType="begin"/>
      <w:instrText xml:space="preserve">PAGE</w:instrText>
      <w:fldChar w:fldCharType="separate"/>
      <w:fldChar w:fldCharType="end"/>
    </w:r>
    <w:r>
      <w:rPr>
        <w:color w:val="666666"/>
        <w:sz w:val="16"/>
        <w:szCs w:val="16"/>
      </w:rPr>
      <w:t xml:space="preserve">  |  Confidential — For partner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i/>
        <w:iCs/>
        <w:color w:val="666666"/>
        <w:sz w:val="16"/>
        <w:szCs w:val="16"/>
      </w:rPr>
      <w:t xml:space="preserve">VoiceBridge — AAC Bridge Fund Grant Policy (Pilot)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E3A5F"/>
      <w:sz w:val="28"/>
      <w:szCs w:val="28"/>
    </w:rPr>
  </w:style>
  <w:style w:type="paragraph" w:styleId="Heading2">
    <w:name w:val="Heading 2"/>
    <w:basedOn w:val="Normal"/>
    <w:next w:val="Normal"/>
    <w:qFormat/>
    <w:pPr>
      <w:spacing w:after="80" w:before="180"/>
      <w:outlineLvl w:val="1"/>
    </w:pPr>
    <w:rPr>
      <w:rFonts w:ascii="Arial" w:cs="Arial" w:eastAsia="Arial" w:hAnsi="Arial"/>
      <w:b/>
      <w:bCs/>
      <w:color w:val="2E5A8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2026-06-17T02:55:06.410Z</dcterms:created>
  <dcterms:modified xsi:type="dcterms:W3CDTF">2026-06-17T02:55:06.411Z</dcterms:modified>
</cp:coreProperties>
</file>

<file path=docProps/custom.xml><?xml version="1.0" encoding="utf-8"?>
<Properties xmlns="http://schemas.openxmlformats.org/officeDocument/2006/custom-properties" xmlns:vt="http://schemas.openxmlformats.org/officeDocument/2006/docPropsVTypes"/>
</file>