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b/>
          <w:bCs/>
          <w:color w:val="1E3A5F"/>
          <w:sz w:val="24"/>
          <w:szCs w:val="24"/>
        </w:rPr>
        <w:t xml:space="preserve">VOICEBRIDGE — GRANT DECISION RUBRIC</w:t>
      </w:r>
    </w:p>
    <w:p>
      <w:pPr>
        <w:spacing w:after="100"/>
        <w:jc w:val="center"/>
      </w:pPr>
      <w:r>
        <w:rPr>
          <w:i/>
          <w:iCs/>
          <w:sz w:val="16"/>
          <w:szCs w:val="16"/>
        </w:rPr>
        <w:t xml:space="preserve">Apply to every complete referral. Score 0–5 per criterion. Record total and decision. Attach to case file.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900"/>
        <w:gridCol w:w="900"/>
        <w:gridCol w:w="900"/>
        <w:gridCol w:w="900"/>
        <w:gridCol w:w="900"/>
        <w:gridCol w:w="900"/>
      </w:tblGrid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50"/>
              <w:left w:type="dxa" w:w="60"/>
              <w:bottom w:type="dxa" w:w="5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Criterion (read left to right)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50"/>
              <w:left w:type="dxa" w:w="60"/>
              <w:bottom w:type="dxa" w:w="5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0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50"/>
              <w:left w:type="dxa" w:w="60"/>
              <w:bottom w:type="dxa" w:w="5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1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50"/>
              <w:left w:type="dxa" w:w="60"/>
              <w:bottom w:type="dxa" w:w="5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2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50"/>
              <w:left w:type="dxa" w:w="60"/>
              <w:bottom w:type="dxa" w:w="5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3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50"/>
              <w:left w:type="dxa" w:w="60"/>
              <w:bottom w:type="dxa" w:w="5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4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50"/>
              <w:left w:type="dxa" w:w="60"/>
              <w:bottom w:type="dxa" w:w="5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5</w:t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6"/>
                <w:szCs w:val="16"/>
              </w:rPr>
              <w:t xml:space="preserve">1. Urgency / Risk of lost or no access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DE7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0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DE7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DE7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DE7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DE7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DE7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4"/>
                <w:szCs w:val="14"/>
              </w:rPr>
              <w:t xml:space="preserve">   0 = no time pressure, stable access   •   5 = imminent loss of all functional communication (device broken + no backup, surgery recovery window closing, school placement at risk, safety)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6"/>
                <w:szCs w:val="16"/>
              </w:rPr>
              <w:t xml:space="preserve">2. Direct functional impact on communication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DE7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0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DE7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DE7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DE7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DE7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DE7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4"/>
                <w:szCs w:val="14"/>
              </w:rPr>
              <w:t xml:space="preserve">   0 = marginal or cosmetic   •   5 = enables core daily communication (expressing needs, medical, safety, social participation) that is currently impossible or severely restricted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6"/>
                <w:szCs w:val="16"/>
              </w:rPr>
              <w:t xml:space="preserve">3. Gap / no timely alternative source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DE7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0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DE7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DE7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DE7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DE7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DE7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4"/>
                <w:szCs w:val="14"/>
              </w:rPr>
              <w:t xml:space="preserve">   0 = full funding already secured elsewhere   •   5 = documented denial, wait &gt;6 months, or program explicitly does not cover this item and no workaround exists in timeframe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6"/>
                <w:szCs w:val="16"/>
              </w:rPr>
              <w:t xml:space="preserve">4. Cost-effectiveness / modest scope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DE7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0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DE7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DE7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DE7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DE7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DE7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4"/>
                <w:szCs w:val="14"/>
              </w:rPr>
              <w:t xml:space="preserve">   0 = high cost relative to impact or luxury add-on   •   5 = low cost, high leverage (e.g. $800 repair saves $4k device; $120 keyguard unlocks tablet use)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6"/>
                <w:szCs w:val="16"/>
              </w:rPr>
              <w:t xml:space="preserve">5. Referral quality &amp; partner credibility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DE7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0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DE7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DE7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DE7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DE7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DE7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4"/>
                <w:szCs w:val="14"/>
              </w:rPr>
              <w:t xml:space="preserve">   0 = incomplete form, no cost estimate, unclear need   •   5 = complete, specific vendor quote attached, partner has direct ongoing relationship and can do 30-day confirmation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6"/>
                <w:szCs w:val="16"/>
              </w:rPr>
              <w:t xml:space="preserve"/>
            </w:r>
          </w:p>
        </w:tc>
      </w:tr>
    </w:tbl>
    <w:p>
      <w:pPr>
        <w:spacing w:after="60" w:before="140"/>
      </w:pPr>
      <w:r>
        <w:rPr>
          <w:b/>
          <w:bCs/>
          <w:color w:val="1E3A5F"/>
          <w:sz w:val="20"/>
          <w:szCs w:val="20"/>
        </w:rPr>
        <w:t xml:space="preserve">SCORING &amp; DECISION GUIDE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6"/>
                <w:szCs w:val="16"/>
              </w:rPr>
              <w:t xml:space="preserve">Total / 25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6"/>
                <w:szCs w:val="16"/>
              </w:rPr>
              <w:t xml:space="preserve">Decision guidance (pilot)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8E6C9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6"/>
                <w:szCs w:val="16"/>
              </w:rPr>
              <w:t xml:space="preserve">20–25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6"/>
                <w:szCs w:val="16"/>
              </w:rPr>
              <w:t xml:space="preserve">Strong approve. Fast-track payment. Minimal additional documentation.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DC8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6"/>
                <w:szCs w:val="16"/>
              </w:rPr>
              <w:t xml:space="preserve">15–19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6"/>
                <w:szCs w:val="16"/>
              </w:rPr>
              <w:t xml:space="preserve">Approve. May request one clarification from partner before payment.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6"/>
                <w:szCs w:val="16"/>
              </w:rPr>
              <w:t xml:space="preserve">10–14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6"/>
                <w:szCs w:val="16"/>
              </w:rPr>
              <w:t xml:space="preserve">Defer or conditional. Ask for more info on gap/urgency or reduce scope. Re-score on resubmit.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CDD2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6"/>
                <w:szCs w:val="16"/>
              </w:rPr>
              <w:t xml:space="preserve">0–9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6"/>
                <w:szCs w:val="16"/>
              </w:rPr>
              <w:t xml:space="preserve">Decline (or very rarely defer with major rewrite). Document reason plainly for partner.</w:t>
            </w:r>
          </w:p>
        </w:tc>
      </w:tr>
    </w:tbl>
    <w:p>
      <w:pPr>
        <w:spacing w:after="40" w:before="120"/>
      </w:pPr>
      <w:r>
        <w:rPr>
          <w:b/>
          <w:bCs/>
          <w:color w:val="1E3A5F"/>
          <w:sz w:val="18"/>
          <w:szCs w:val="18"/>
        </w:rPr>
        <w:t xml:space="preserve">CASE NOTES &amp; EQUITY CONSIDERATIONS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W w:type="dxa" w:w="10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sz w:val="16"/>
                <w:szCs w:val="16"/>
              </w:rPr>
              <w:t xml:space="preserve"> </w:t>
            </w:r>
          </w:p>
          <w:p>
            <w:r>
              <w:rPr>
                <w:sz w:val="16"/>
                <w:szCs w:val="16"/>
              </w:rPr>
              <w:t xml:space="preserve"> </w:t>
            </w:r>
          </w:p>
          <w:p>
            <w:r>
              <w:rPr>
                <w:sz w:val="16"/>
                <w:szCs w:val="16"/>
              </w:rPr>
              <w:t xml:space="preserve"> </w:t>
            </w:r>
          </w:p>
          <w:p>
            <w:r>
              <w:rPr>
                <w:sz w:val="16"/>
                <w:szCs w:val="16"/>
              </w:rPr>
              <w:t xml:space="preserve"> </w:t>
            </w:r>
          </w:p>
        </w:tc>
      </w:tr>
    </w:tbl>
    <w:p>
      <w:pPr>
        <w:spacing w:after="40" w:before="120"/>
      </w:pPr>
      <w:r>
        <w:rPr>
          <w:b/>
          <w:bCs/>
          <w:color w:val="1E3A5F"/>
          <w:sz w:val="18"/>
          <w:szCs w:val="18"/>
        </w:rPr>
        <w:t xml:space="preserve">FINAL DECISION (circle or mark)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W w:type="dxa" w:w="10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40"/>
            </w:pPr>
            <w:r>
              <w:rPr>
                <w:sz w:val="17"/>
                <w:szCs w:val="17"/>
              </w:rPr>
              <w:t xml:space="preserve">☐ APPROVE     Amount approved: $ ___________     Vendor: _______________________________</w:t>
            </w:r>
          </w:p>
          <w:p>
            <w:pPr>
              <w:spacing w:after="40"/>
            </w:pPr>
            <w:r>
              <w:rPr>
                <w:sz w:val="17"/>
                <w:szCs w:val="17"/>
              </w:rPr>
              <w:t xml:space="preserve">☐ DEFER       Reason / info needed: ________________________________________________</w:t>
            </w:r>
          </w:p>
          <w:p>
            <w:pPr>
              <w:spacing w:after="40"/>
            </w:pPr>
            <w:r>
              <w:rPr>
                <w:sz w:val="17"/>
                <w:szCs w:val="17"/>
              </w:rPr>
              <w:t xml:space="preserve">☐ DECLINE     Plain-language reason to partner: ____________________________________</w:t>
            </w:r>
          </w:p>
          <w:p>
            <w:r>
              <w:rPr>
                <w:sz w:val="17"/>
                <w:szCs w:val="17"/>
              </w:rPr>
              <w:t xml:space="preserve">Reviewer(s): ______________________________     Date: _______________     Total score: ____ / 25</w:t>
            </w:r>
          </w:p>
        </w:tc>
      </w:tr>
    </w:tbl>
    <w:p>
      <w:pPr>
        <w:spacing w:before="100"/>
        <w:jc w:val="center"/>
      </w:pPr>
      <w:r>
        <w:rPr>
          <w:i/>
          <w:iCs/>
          <w:color w:val="555555"/>
          <w:sz w:val="15"/>
          <w:szCs w:val="15"/>
        </w:rPr>
        <w:t xml:space="preserve">Lived-experience advisor input required on first 10 grants and on any grant &gt;$2,500 or borderline scores.</w:t>
      </w:r>
    </w:p>
    <w:p>
      <w:pPr>
        <w:jc w:val="center"/>
      </w:pPr>
      <w:r>
        <w:rPr>
          <w:color w:val="888888"/>
          <w:sz w:val="14"/>
          <w:szCs w:val="14"/>
        </w:rPr>
        <w:t xml:space="preserve">VoiceBridge Foundation — Canada (in formation)  •  Minimum-effort pilot  •  Evidence before expansion</w:t>
      </w:r>
    </w:p>
    <w:sectPr>
      <w:headerReference w:type="default" r:id="rId7"/>
      <w:footerReference w:type="default" r:id="rId8"/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4"/>
        <w:szCs w:val="14"/>
      </w:rPr>
      <w:t xml:space="preserve">Page </w:t>
    </w:r>
    <w:r>
      <w:rPr>
        <w:sz w:val="14"/>
        <w:szCs w:val="14"/>
      </w:rPr>
      <w:fldChar w:fldCharType="begin"/>
      <w:instrText xml:space="preserve">PAGE</w:instrText>
      <w:fldChar w:fldCharType="separate"/>
      <w:fldChar w:fldCharType="end"/>
    </w:r>
    <w:r>
      <w:rPr>
        <w:color w:val="666666"/>
        <w:sz w:val="14"/>
        <w:szCs w:val="14"/>
      </w:rPr>
      <w:t xml:space="preserve">  •  Use with Grant Policy. Keep completed copies with case file.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i/>
        <w:iCs/>
        <w:color w:val="666666"/>
        <w:sz w:val="14"/>
        <w:szCs w:val="14"/>
      </w:rPr>
      <w:t xml:space="preserve">VoiceBridge Grant Decision Rubric — Pilot v0.9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2026-06-17T02:55:42.748Z</dcterms:created>
  <dcterms:modified xsi:type="dcterms:W3CDTF">2026-06-17T02:55:42.748Z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