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E3A5F"/>
          <w:sz w:val="44"/>
          <w:szCs w:val="44"/>
        </w:rPr>
        <w:t xml:space="preserve">VOICEBRIDGE</w:t>
      </w:r>
    </w:p>
    <w:p>
      <w:pPr>
        <w:spacing w:after="12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AAC Bridge Fund — One-Page Donor Brief</w:t>
      </w:r>
    </w:p>
    <w:p>
      <w:pPr>
        <w:pStyle w:val="SectionHead"/>
      </w:pPr>
      <w:r>
        <w:t xml:space="preserve">Mission</w:t>
      </w:r>
    </w:p>
    <w:p>
      <w:pPr>
        <w:pStyle w:val="BodyTight"/>
      </w:pPr>
      <w:r>
        <w:t xml:space="preserve">VoiceBridge helps people with speech and communication disabilities access basic communication supports when cost, delay, or incomplete coverage prevents timely use.</w:t>
      </w:r>
    </w:p>
    <w:p>
      <w:pPr>
        <w:pStyle w:val="SectionHead"/>
      </w:pPr>
      <w:r>
        <w:t xml:space="preserve">The Offer</w:t>
      </w:r>
    </w:p>
    <w:p>
      <w:pPr>
        <w:pStyle w:val="BodyTight"/>
      </w:pPr>
      <w:r>
        <w:t xml:space="preserve">A small, flexible fund for urgent, practical communication-access needs that would otherwise go unmet.</w:t>
      </w:r>
    </w:p>
    <w:p>
      <w:pPr>
        <w:spacing w:after="60" w:before="60"/>
      </w:pPr>
      <w:r>
        <w:rPr>
          <w:i/>
          <w:iCs/>
        </w:rPr>
        <w:t xml:space="preserve">This is not about “giving someone a voice.” It is about removing a practical barrier that is blocking an existing voice from being understood.</w:t>
      </w:r>
    </w:p>
    <w:p>
      <w:pPr>
        <w:pStyle w:val="SectionHead"/>
      </w:pPr>
      <w:r>
        <w:t xml:space="preserve">What a Modest Grant Can Fund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9"/>
          <w:szCs w:val="19"/>
        </w:rPr>
        <w:t xml:space="preserve">AAC app licenses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9"/>
          <w:szCs w:val="19"/>
        </w:rPr>
        <w:t xml:space="preserve">Tablet-based communication setups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9"/>
          <w:szCs w:val="19"/>
        </w:rPr>
        <w:t xml:space="preserve">Protective cases, keyguards, mounts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19"/>
          <w:szCs w:val="19"/>
        </w:rPr>
        <w:t xml:space="preserve">Repairs, replacement parts, setup help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sz w:val="19"/>
          <w:szCs w:val="19"/>
        </w:rPr>
        <w:t xml:space="preserve">Partner training directly tied to device use</w:t>
      </w:r>
    </w:p>
    <w:p>
      <w:pPr>
        <w:pStyle w:val="SectionHead"/>
      </w:pPr>
      <w:r>
        <w:t xml:space="preserve">Why It Matters</w:t>
      </w:r>
    </w:p>
    <w:p>
      <w:pPr>
        <w:pStyle w:val="BodyTight"/>
      </w:pPr>
      <w:r>
        <w:t xml:space="preserve">For some people, a modest grant can unlock a first functional communication setup or prevent an existing communication tool from becoming unusable. Referral-only through trusted clinical and disability partners. Direct payment to vendors. 30-day use confirmation.</w:t>
      </w:r>
    </w:p>
    <w:p>
      <w:pPr>
        <w:pStyle w:val="SectionHead"/>
      </w:pPr>
      <w:r>
        <w:t xml:space="preserve">Starter Pilot Target: $50,000 – $100,000</w:t>
      </w:r>
    </w:p>
    <w:p>
      <w:pPr>
        <w:spacing w:after="40"/>
      </w:pPr>
      <w:r>
        <w:rPr>
          <w:sz w:val="18"/>
          <w:szCs w:val="18"/>
        </w:rPr>
        <w:t xml:space="preserve">Grants: $30k–$70k  •  Lived-experience advisors: $5k–$10k  •  Legal/compliance: $5k–$15k  •  Admin/forms/reporting: $5k–$10k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800"/>
      </w:tblGrid>
      <w:tr>
        <w:tc>
          <w:tcPr>
            <w:tcW w:type="dxa" w:w="10800"/>
            <w:tcBorders>
              <w:top w:val="single" w:color="1E3A5F" w:sz="8"/>
              <w:left w:val="single" w:color="1E3A5F" w:sz="8"/>
              <w:bottom w:val="single" w:color="1E3A5F" w:sz="8"/>
              <w:right w:val="single" w:color="1E3A5F" w:sz="8"/>
            </w:tcBorders>
            <w:shd w:fill="F0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sz w:val="19"/>
                <w:szCs w:val="19"/>
              </w:rPr>
              <w:t xml:space="preserve">VoiceBridge earns the right to grow by proving it can move money quickly and responsibly to real communication-access needs.</w:t>
            </w:r>
          </w:p>
        </w:tc>
      </w:tr>
    </w:tbl>
    <w:p>
      <w:pPr>
        <w:pStyle w:val="SectionHead"/>
      </w:pPr>
      <w:r>
        <w:t xml:space="preserve">How to Help</w:t>
      </w:r>
    </w:p>
    <w:p>
      <w:pPr>
        <w:pStyle w:val="BodyTight"/>
      </w:pPr>
      <w:r>
        <w:t xml:space="preserve">Contact the founding directors to discuss a starter gift, multi-year pledge, or in-kind support for the pilot phase. All funds go to direct supports or tightly controlled launch costs.</w:t>
      </w:r>
    </w:p>
    <w:p>
      <w:pPr>
        <w:spacing w:before="160"/>
        <w:jc w:val="center"/>
      </w:pPr>
      <w:r>
        <w:rPr>
          <w:color w:val="666666"/>
          <w:sz w:val="16"/>
          <w:szCs w:val="16"/>
        </w:rPr>
        <w:t xml:space="preserve">VoiceBridge Foundation — Canada (federal not-for-profit in formation)</w:t>
      </w:r>
    </w:p>
    <w:p>
      <w:pPr>
        <w:jc w:val="center"/>
      </w:pPr>
      <w:r>
        <w:rPr>
          <w:color w:val="666666"/>
          <w:sz w:val="16"/>
          <w:szCs w:val="16"/>
        </w:rPr>
        <w:t xml:space="preserve">Referral-only • Evidence-led • Minimum overhead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60" w:before="0"/>
      <w:jc w:val="center"/>
    </w:pPr>
    <w:rPr>
      <w:rFonts w:ascii="Arial" w:cs="Arial" w:eastAsia="Arial" w:hAnsi="Arial"/>
      <w:b/>
      <w:bCs/>
      <w:color w:val="1E3A5F"/>
      <w:sz w:val="36"/>
      <w:szCs w:val="36"/>
    </w:rPr>
  </w:style>
  <w:style w:type="paragraph" w:styleId="Subtitle">
    <w:name w:val="Subtitle"/>
    <w:basedOn w:val="Normal"/>
    <w:pPr>
      <w:spacing w:after="120" w:before="0"/>
      <w:jc w:val="center"/>
    </w:pPr>
    <w:rPr>
      <w:rFonts w:ascii="Arial" w:cs="Arial" w:eastAsia="Arial" w:hAnsi="Arial"/>
      <w:i/>
      <w:iCs/>
      <w:color w:val="2E5A8C"/>
      <w:sz w:val="22"/>
      <w:szCs w:val="22"/>
    </w:rPr>
  </w:style>
  <w:style w:type="paragraph" w:styleId="SectionHead">
    <w:name w:val="Section Head"/>
    <w:basedOn w:val="Normal"/>
    <w:pPr>
      <w:spacing w:after="40" w:before="140"/>
    </w:pPr>
    <w:rPr>
      <w:rFonts w:ascii="Arial" w:cs="Arial" w:eastAsia="Arial" w:hAnsi="Arial"/>
      <w:b/>
      <w:bCs/>
      <w:color w:val="1E3A5F"/>
      <w:sz w:val="22"/>
      <w:szCs w:val="22"/>
    </w:rPr>
  </w:style>
  <w:style w:type="paragraph" w:styleId="BodyTight">
    <w:name w:val="Body Tight"/>
    <w:basedOn w:val="Normal"/>
    <w:pPr>
      <w:spacing w:after="60" w:before="0"/>
    </w:pPr>
    <w:rPr>
      <w:rFonts w:ascii="Arial" w:cs="Arial" w:eastAsia="Arial" w:hAnsi="Arial"/>
      <w:sz w:val="19"/>
      <w:szCs w:val="19"/>
    </w:rPr>
  </w:style>
  <w:style w:type="paragraph" w:styleId="Quote">
    <w:name w:val="Quote"/>
    <w:basedOn w:val="Normal"/>
    <w:pPr>
      <w:spacing w:after="60" w:before="60"/>
      <w:ind w:left="200" w:right="200"/>
    </w:pPr>
    <w:rPr>
      <w:rFonts w:ascii="Arial" w:cs="Arial" w:eastAsia="Arial" w:hAnsi="Arial"/>
      <w:i/>
      <w:iCs/>
      <w:color w:val="333333"/>
      <w:sz w:val="19"/>
      <w:szCs w:val="19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2026-06-17T02:54:48.449Z</dcterms:created>
  <dcterms:modified xsi:type="dcterms:W3CDTF">2026-06-17T02:54:48.449Z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